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68D8" w14:textId="77777777" w:rsidR="00E64E27" w:rsidRDefault="00E64E27" w:rsidP="00E64E27">
      <w:pPr>
        <w:spacing w:after="0" w:line="240" w:lineRule="auto"/>
        <w:rPr>
          <w:sz w:val="20"/>
        </w:rPr>
      </w:pPr>
    </w:p>
    <w:p w14:paraId="30FBF8D1" w14:textId="77777777" w:rsidR="00FD21C1" w:rsidRDefault="004E191E" w:rsidP="007335F8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  <w:tab w:val="left" w:pos="9072"/>
        </w:tabs>
        <w:spacing w:after="0" w:line="240" w:lineRule="auto"/>
        <w:ind w:right="-46"/>
        <w:rPr>
          <w:rFonts w:ascii="Arial Narrow" w:hAnsi="Arial Narrow"/>
          <w:sz w:val="20"/>
        </w:rPr>
      </w:pPr>
      <w:r w:rsidRPr="002A7E0F">
        <w:rPr>
          <w:rFonts w:ascii="Arial Narrow" w:hAnsi="Arial Narrow"/>
          <w:sz w:val="20"/>
        </w:rPr>
        <w:t xml:space="preserve">Before completing this </w:t>
      </w:r>
      <w:r>
        <w:rPr>
          <w:rFonts w:ascii="Arial Narrow" w:hAnsi="Arial Narrow"/>
          <w:sz w:val="20"/>
        </w:rPr>
        <w:t>form</w:t>
      </w:r>
      <w:r w:rsidRPr="002A7E0F">
        <w:rPr>
          <w:rFonts w:ascii="Arial Narrow" w:hAnsi="Arial Narrow"/>
          <w:sz w:val="20"/>
        </w:rPr>
        <w:t xml:space="preserve">, </w:t>
      </w:r>
      <w:r w:rsidR="002B43DA">
        <w:rPr>
          <w:rFonts w:ascii="Arial Narrow" w:hAnsi="Arial Narrow"/>
          <w:sz w:val="20"/>
        </w:rPr>
        <w:t xml:space="preserve">please </w:t>
      </w:r>
      <w:r w:rsidRPr="002A7E0F">
        <w:rPr>
          <w:rFonts w:ascii="Arial Narrow" w:hAnsi="Arial Narrow"/>
          <w:sz w:val="20"/>
        </w:rPr>
        <w:t>ensure</w:t>
      </w:r>
      <w:r>
        <w:rPr>
          <w:rFonts w:ascii="Arial Narrow" w:hAnsi="Arial Narrow"/>
          <w:sz w:val="20"/>
        </w:rPr>
        <w:t xml:space="preserve"> you </w:t>
      </w:r>
      <w:r w:rsidRPr="002A7E0F">
        <w:rPr>
          <w:rFonts w:ascii="Arial Narrow" w:hAnsi="Arial Narrow"/>
          <w:sz w:val="20"/>
        </w:rPr>
        <w:t xml:space="preserve">have the most recent version by downloading </w:t>
      </w:r>
      <w:r>
        <w:rPr>
          <w:rFonts w:ascii="Arial Narrow" w:hAnsi="Arial Narrow"/>
          <w:sz w:val="20"/>
        </w:rPr>
        <w:t>the form</w:t>
      </w:r>
      <w:r w:rsidRPr="002A7E0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from the Takeover Panel website (</w:t>
      </w:r>
      <w:hyperlink r:id="rId8" w:history="1">
        <w:r w:rsidRPr="00FD7A2B">
          <w:rPr>
            <w:rStyle w:val="Hyperlink"/>
            <w:rFonts w:ascii="Arial Narrow" w:hAnsi="Arial Narrow"/>
            <w:sz w:val="20"/>
          </w:rPr>
          <w:t>www.thetakeoverpanel.org.uk</w:t>
        </w:r>
      </w:hyperlink>
      <w:r>
        <w:rPr>
          <w:rFonts w:ascii="Arial Narrow" w:hAnsi="Arial Narrow"/>
          <w:sz w:val="20"/>
        </w:rPr>
        <w:t>). This form must be completed in accordance with the Panel’s guidance on ‘How to complete checklists and supplementary forms’ which can be found on the Panel’s website.</w:t>
      </w:r>
    </w:p>
    <w:p w14:paraId="4D85354E" w14:textId="77777777" w:rsidR="00BE3356" w:rsidRDefault="00BE3356" w:rsidP="007335F8">
      <w:pPr>
        <w:pStyle w:val="Heading2"/>
        <w:numPr>
          <w:ilvl w:val="0"/>
          <w:numId w:val="0"/>
        </w:numPr>
        <w:tabs>
          <w:tab w:val="clear" w:pos="720"/>
          <w:tab w:val="left" w:pos="0"/>
          <w:tab w:val="left" w:pos="4536"/>
          <w:tab w:val="left" w:pos="9072"/>
        </w:tabs>
        <w:spacing w:after="0" w:line="240" w:lineRule="auto"/>
        <w:ind w:right="-46"/>
        <w:rPr>
          <w:rFonts w:ascii="Arial Narrow" w:hAnsi="Arial Narrow"/>
          <w:sz w:val="20"/>
        </w:rPr>
      </w:pPr>
    </w:p>
    <w:p w14:paraId="0A5AC0D7" w14:textId="77777777" w:rsidR="00FD21C1" w:rsidRPr="009D3FA9" w:rsidRDefault="00FD21C1" w:rsidP="007335F8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A: </w:t>
      </w:r>
      <w:r w:rsidR="00B11929">
        <w:rPr>
          <w:rFonts w:ascii="Arial Narrow" w:hAnsi="Arial Narrow"/>
          <w:szCs w:val="24"/>
        </w:rPr>
        <w:t>Parties to the offer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825"/>
      </w:tblGrid>
      <w:tr w:rsidR="00FD21C1" w:rsidRPr="007D4EF2" w14:paraId="43A21F7F" w14:textId="77777777" w:rsidTr="007A31E7">
        <w:tc>
          <w:tcPr>
            <w:tcW w:w="1389" w:type="dxa"/>
            <w:shd w:val="clear" w:color="auto" w:fill="auto"/>
          </w:tcPr>
          <w:p w14:paraId="56A4A0DE" w14:textId="77777777" w:rsidR="00FD21C1" w:rsidRPr="00367DF6" w:rsidRDefault="00FD21C1" w:rsidP="008C281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7825" w:type="dxa"/>
            <w:shd w:val="clear" w:color="auto" w:fill="auto"/>
          </w:tcPr>
          <w:p w14:paraId="04BC374C" w14:textId="77777777" w:rsidR="00FD21C1" w:rsidRPr="007D4EF2" w:rsidRDefault="00FD21C1" w:rsidP="00FD21C1">
            <w:pPr>
              <w:spacing w:before="120" w:after="120" w:line="240" w:lineRule="auto"/>
              <w:rPr>
                <w:rFonts w:ascii="Arial Narrow" w:hAnsi="Arial Narrow"/>
                <w:b/>
                <w:sz w:val="20"/>
              </w:rPr>
            </w:pPr>
          </w:p>
        </w:tc>
      </w:tr>
      <w:tr w:rsidR="00FD21C1" w:rsidRPr="007D4EF2" w14:paraId="04F6DA54" w14:textId="77777777" w:rsidTr="007A31E7">
        <w:tc>
          <w:tcPr>
            <w:tcW w:w="1389" w:type="dxa"/>
            <w:shd w:val="clear" w:color="auto" w:fill="auto"/>
          </w:tcPr>
          <w:p w14:paraId="3D9F3084" w14:textId="77777777" w:rsidR="00FD21C1" w:rsidRPr="00367DF6" w:rsidRDefault="00FD21C1" w:rsidP="00FD21C1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7825" w:type="dxa"/>
            <w:shd w:val="clear" w:color="auto" w:fill="auto"/>
          </w:tcPr>
          <w:p w14:paraId="1F150894" w14:textId="77777777" w:rsidR="00FD21C1" w:rsidRPr="007D4EF2" w:rsidRDefault="00FD21C1" w:rsidP="008C281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D2283B6" w14:textId="77777777" w:rsidR="00FD21C1" w:rsidRDefault="00FD21C1" w:rsidP="00D3134C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p w14:paraId="0023A3A1" w14:textId="77777777" w:rsidR="00D3134C" w:rsidRDefault="00D3134C" w:rsidP="007A31E7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This form is provided by (tick one): </w:t>
      </w:r>
    </w:p>
    <w:p w14:paraId="7249080A" w14:textId="77777777" w:rsidR="00D3134C" w:rsidRDefault="00D3134C" w:rsidP="007A31E7">
      <w:pPr>
        <w:pStyle w:val="Heading2"/>
        <w:numPr>
          <w:ilvl w:val="0"/>
          <w:numId w:val="0"/>
        </w:numPr>
        <w:tabs>
          <w:tab w:val="clear" w:pos="720"/>
          <w:tab w:val="left" w:pos="-142"/>
        </w:tabs>
        <w:spacing w:after="0" w:line="240" w:lineRule="auto"/>
        <w:ind w:hanging="142"/>
        <w:rPr>
          <w:rFonts w:ascii="Arial Narrow" w:hAnsi="Arial Narrow"/>
          <w:sz w:val="2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7A31E7" w14:paraId="300F52E1" w14:textId="77777777" w:rsidTr="001C3113">
        <w:tc>
          <w:tcPr>
            <w:tcW w:w="4253" w:type="dxa"/>
            <w:hideMark/>
          </w:tcPr>
          <w:p w14:paraId="614E5B35" w14:textId="77777777" w:rsidR="007A31E7" w:rsidRDefault="007A31E7" w:rsidP="007A31E7">
            <w:pPr>
              <w:pStyle w:val="Heading2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720" w:hanging="7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Offeror</w:t>
            </w:r>
            <w:r>
              <w:rPr>
                <w:rFonts w:ascii="Arial Narrow" w:hAnsi="Arial Narrow"/>
                <w:b/>
                <w:sz w:val="20"/>
              </w:rPr>
              <w:tab/>
            </w:r>
          </w:p>
        </w:tc>
        <w:tc>
          <w:tcPr>
            <w:tcW w:w="4819" w:type="dxa"/>
            <w:hideMark/>
          </w:tcPr>
          <w:p w14:paraId="160DF226" w14:textId="77777777" w:rsidR="007A31E7" w:rsidRDefault="007A31E7" w:rsidP="007A31E7">
            <w:pPr>
              <w:pStyle w:val="Heading2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Offeree</w:t>
            </w:r>
          </w:p>
        </w:tc>
      </w:tr>
    </w:tbl>
    <w:p w14:paraId="076FA660" w14:textId="77777777" w:rsidR="007A31E7" w:rsidRDefault="007A31E7" w:rsidP="002B43DA">
      <w:pPr>
        <w:pStyle w:val="Heading2"/>
        <w:numPr>
          <w:ilvl w:val="0"/>
          <w:numId w:val="0"/>
        </w:numPr>
        <w:spacing w:after="0" w:line="240" w:lineRule="auto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919"/>
        <w:gridCol w:w="1808"/>
        <w:gridCol w:w="595"/>
        <w:gridCol w:w="1276"/>
      </w:tblGrid>
      <w:tr w:rsidR="002B43DA" w:rsidRPr="00706C96" w14:paraId="73449A41" w14:textId="77777777" w:rsidTr="007A31E7">
        <w:tc>
          <w:tcPr>
            <w:tcW w:w="4616" w:type="dxa"/>
            <w:vMerge w:val="restart"/>
            <w:shd w:val="clear" w:color="auto" w:fill="auto"/>
          </w:tcPr>
          <w:p w14:paraId="5D252F58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</w:t>
            </w:r>
            <w:r w:rsidRPr="00706C96">
              <w:rPr>
                <w:rFonts w:ascii="Arial Narrow" w:hAnsi="Arial Narrow"/>
                <w:b/>
                <w:sz w:val="20"/>
              </w:rPr>
              <w:t>inancial adviser</w:t>
            </w:r>
            <w:r>
              <w:rPr>
                <w:rFonts w:ascii="Arial Narrow" w:hAnsi="Arial Narrow"/>
                <w:b/>
                <w:sz w:val="20"/>
              </w:rPr>
              <w:t xml:space="preserve"> to party completing this form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919" w:type="dxa"/>
            <w:shd w:val="clear" w:color="auto" w:fill="auto"/>
          </w:tcPr>
          <w:p w14:paraId="769632D5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7B291CD9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B43DA" w:rsidRPr="00706C96" w14:paraId="6ED66FF6" w14:textId="77777777" w:rsidTr="007A31E7">
        <w:tc>
          <w:tcPr>
            <w:tcW w:w="4616" w:type="dxa"/>
            <w:vMerge/>
            <w:shd w:val="clear" w:color="auto" w:fill="auto"/>
          </w:tcPr>
          <w:p w14:paraId="29DE9F55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5C93531F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1AE8C4E6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B43DA" w:rsidRPr="00706C96" w14:paraId="5C923D9F" w14:textId="77777777" w:rsidTr="007A31E7">
        <w:tc>
          <w:tcPr>
            <w:tcW w:w="4616" w:type="dxa"/>
            <w:vMerge/>
            <w:shd w:val="clear" w:color="auto" w:fill="auto"/>
          </w:tcPr>
          <w:p w14:paraId="33922A5A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96F8D73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17922496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B43DA" w:rsidRPr="00706C96" w14:paraId="06D906A4" w14:textId="77777777" w:rsidTr="007A31E7">
        <w:tc>
          <w:tcPr>
            <w:tcW w:w="4616" w:type="dxa"/>
            <w:vMerge/>
            <w:shd w:val="clear" w:color="auto" w:fill="auto"/>
          </w:tcPr>
          <w:p w14:paraId="7152E044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137272F0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679" w:type="dxa"/>
            <w:gridSpan w:val="3"/>
            <w:shd w:val="clear" w:color="auto" w:fill="auto"/>
          </w:tcPr>
          <w:p w14:paraId="28B019C3" w14:textId="77777777" w:rsidR="002B43DA" w:rsidRPr="00706C96" w:rsidRDefault="002B43DA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5B3486" w:rsidRPr="00706C96" w14:paraId="05EC4420" w14:textId="77777777" w:rsidTr="007A31E7">
        <w:tc>
          <w:tcPr>
            <w:tcW w:w="4616" w:type="dxa"/>
            <w:shd w:val="clear" w:color="auto" w:fill="auto"/>
          </w:tcPr>
          <w:p w14:paraId="4EE068EA" w14:textId="77777777" w:rsidR="005B3486" w:rsidRPr="00706C96" w:rsidRDefault="005B3486" w:rsidP="00100750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Financial adviser’s approval of </w:t>
            </w:r>
            <w:r>
              <w:rPr>
                <w:rFonts w:ascii="Arial Narrow" w:hAnsi="Arial Narrow"/>
                <w:b/>
                <w:sz w:val="20"/>
              </w:rPr>
              <w:t>this form</w:t>
            </w:r>
            <w:r w:rsidRPr="00706C96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919" w:type="dxa"/>
            <w:shd w:val="clear" w:color="auto" w:fill="auto"/>
          </w:tcPr>
          <w:p w14:paraId="1225C0B6" w14:textId="77777777" w:rsidR="005B3486" w:rsidRPr="00706C96" w:rsidRDefault="005B3486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808" w:type="dxa"/>
            <w:shd w:val="clear" w:color="auto" w:fill="auto"/>
          </w:tcPr>
          <w:p w14:paraId="4D5EC894" w14:textId="77777777" w:rsidR="005B3486" w:rsidRPr="00706C96" w:rsidRDefault="005B3486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95" w:type="dxa"/>
            <w:shd w:val="clear" w:color="auto" w:fill="auto"/>
          </w:tcPr>
          <w:p w14:paraId="4841B406" w14:textId="77777777" w:rsidR="005B3486" w:rsidRPr="00706C96" w:rsidRDefault="005B3486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 w14:paraId="1BA4375A" w14:textId="77777777" w:rsidR="005B3486" w:rsidRPr="00706C96" w:rsidRDefault="005B3486" w:rsidP="0010075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53FE3D97" w14:textId="77777777" w:rsidR="002B43DA" w:rsidRPr="00D56FD1" w:rsidRDefault="002B43DA" w:rsidP="002B43DA">
      <w:pPr>
        <w:pStyle w:val="Heading2"/>
        <w:numPr>
          <w:ilvl w:val="0"/>
          <w:numId w:val="0"/>
        </w:numPr>
        <w:spacing w:after="0" w:line="240" w:lineRule="auto"/>
      </w:pPr>
    </w:p>
    <w:p w14:paraId="5B8DAC03" w14:textId="77777777" w:rsidR="00FD21C1" w:rsidRDefault="00FD21C1" w:rsidP="002B43DA">
      <w:pPr>
        <w:pStyle w:val="Heading1"/>
        <w:numPr>
          <w:ilvl w:val="0"/>
          <w:numId w:val="0"/>
        </w:numPr>
        <w:tabs>
          <w:tab w:val="left" w:pos="2329"/>
        </w:tabs>
        <w:spacing w:before="0" w:after="0" w:line="240" w:lineRule="auto"/>
        <w:ind w:right="-45"/>
        <w:jc w:val="left"/>
        <w:rPr>
          <w:rFonts w:ascii="Arial Narrow" w:hAnsi="Arial Narrow"/>
          <w:szCs w:val="24"/>
        </w:rPr>
      </w:pPr>
    </w:p>
    <w:p w14:paraId="650CC6FB" w14:textId="77777777" w:rsidR="00FD21C1" w:rsidRPr="0095358E" w:rsidRDefault="00FD21C1" w:rsidP="0095358E">
      <w:pPr>
        <w:pStyle w:val="Heading1"/>
        <w:numPr>
          <w:ilvl w:val="0"/>
          <w:numId w:val="0"/>
        </w:numPr>
        <w:pBdr>
          <w:bottom w:val="single" w:sz="12" w:space="0" w:color="auto"/>
        </w:pBdr>
        <w:tabs>
          <w:tab w:val="left" w:pos="2329"/>
        </w:tabs>
        <w:spacing w:before="0" w:line="240" w:lineRule="auto"/>
        <w:ind w:left="720" w:right="-188" w:hanging="720"/>
        <w:jc w:val="left"/>
        <w:rPr>
          <w:rFonts w:ascii="Arial Narrow" w:hAnsi="Arial Narrow"/>
          <w:szCs w:val="24"/>
        </w:rPr>
      </w:pPr>
      <w:r w:rsidRPr="009D3FA9">
        <w:rPr>
          <w:rFonts w:ascii="Arial Narrow" w:hAnsi="Arial Narrow"/>
          <w:szCs w:val="24"/>
        </w:rPr>
        <w:t>SECTION</w:t>
      </w:r>
      <w:r>
        <w:rPr>
          <w:rFonts w:ascii="Arial Narrow" w:hAnsi="Arial Narrow"/>
          <w:szCs w:val="24"/>
        </w:rPr>
        <w:t xml:space="preserve"> B: Profit forecast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254"/>
        <w:gridCol w:w="1588"/>
        <w:gridCol w:w="2864"/>
      </w:tblGrid>
      <w:tr w:rsidR="00890717" w:rsidRPr="007D4EF2" w14:paraId="7327B583" w14:textId="77777777" w:rsidTr="007A31E7">
        <w:trPr>
          <w:cantSplit/>
          <w:tblHeader/>
        </w:trPr>
        <w:tc>
          <w:tcPr>
            <w:tcW w:w="1508" w:type="dxa"/>
            <w:shd w:val="clear" w:color="auto" w:fill="auto"/>
          </w:tcPr>
          <w:p w14:paraId="363A677F" w14:textId="77777777" w:rsidR="00476C3F" w:rsidRPr="007D4EF2" w:rsidRDefault="00C5735E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4" w:type="dxa"/>
            <w:shd w:val="clear" w:color="auto" w:fill="auto"/>
          </w:tcPr>
          <w:p w14:paraId="79A14495" w14:textId="77777777" w:rsidR="00476C3F" w:rsidRPr="007D4EF2" w:rsidRDefault="00476C3F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14:paraId="3AD0F2FA" w14:textId="77777777" w:rsidR="00476C3F" w:rsidRPr="007D4EF2" w:rsidRDefault="009E0FA1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64" w:type="dxa"/>
            <w:shd w:val="clear" w:color="auto" w:fill="auto"/>
          </w:tcPr>
          <w:p w14:paraId="7D063B8E" w14:textId="77777777" w:rsidR="00476C3F" w:rsidRPr="007D4EF2" w:rsidRDefault="00C5735E" w:rsidP="00520897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EE63C3" w:rsidRPr="007D4EF2" w14:paraId="6C6C138B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556B5767" w14:textId="77777777" w:rsidR="00476C3F" w:rsidRPr="00CD2044" w:rsidRDefault="00911BF4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 xml:space="preserve">28.1(a)(i) </w:t>
            </w:r>
            <w:r w:rsidR="00AA04F3" w:rsidRPr="00CD2044">
              <w:rPr>
                <w:rFonts w:ascii="Arial Narrow" w:hAnsi="Arial Narrow"/>
                <w:b/>
                <w:sz w:val="20"/>
              </w:rPr>
              <w:br/>
            </w:r>
            <w:r w:rsidRPr="00CD2044">
              <w:rPr>
                <w:rFonts w:ascii="Arial Narrow" w:hAnsi="Arial Narrow"/>
                <w:b/>
                <w:sz w:val="20"/>
              </w:rPr>
              <w:t>(&amp;</w:t>
            </w:r>
            <w:r w:rsidR="0003075E" w:rsidRPr="00CD2044">
              <w:rPr>
                <w:rFonts w:ascii="Arial Narrow" w:hAnsi="Arial Narrow"/>
                <w:b/>
                <w:sz w:val="20"/>
              </w:rPr>
              <w:t xml:space="preserve"> Note 6)</w:t>
            </w:r>
          </w:p>
        </w:tc>
        <w:tc>
          <w:tcPr>
            <w:tcW w:w="3254" w:type="dxa"/>
            <w:shd w:val="clear" w:color="auto" w:fill="auto"/>
          </w:tcPr>
          <w:p w14:paraId="1204EB27" w14:textId="77777777" w:rsidR="00476C3F" w:rsidRPr="007D4EF2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period profit forecast (including consensus forecast): reporting accountants’ report</w:t>
            </w:r>
          </w:p>
        </w:tc>
        <w:tc>
          <w:tcPr>
            <w:tcW w:w="1588" w:type="dxa"/>
            <w:shd w:val="clear" w:color="auto" w:fill="auto"/>
          </w:tcPr>
          <w:p w14:paraId="61BDFDC0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0BC8CA2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0156E78A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09369C88" w14:textId="77777777" w:rsidR="00476C3F" w:rsidRPr="00CD2044" w:rsidRDefault="0003075E" w:rsidP="00911BF4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 xml:space="preserve">28.1(a)(ii) </w:t>
            </w:r>
            <w:r w:rsidR="00AA04F3" w:rsidRPr="00CD2044">
              <w:rPr>
                <w:rFonts w:ascii="Arial Narrow" w:hAnsi="Arial Narrow"/>
                <w:b/>
                <w:sz w:val="20"/>
              </w:rPr>
              <w:br/>
            </w:r>
            <w:r w:rsidRPr="00CD2044">
              <w:rPr>
                <w:rFonts w:ascii="Arial Narrow" w:hAnsi="Arial Narrow"/>
                <w:b/>
                <w:sz w:val="20"/>
              </w:rPr>
              <w:t>(</w:t>
            </w:r>
            <w:r w:rsidR="00911BF4" w:rsidRPr="00CD2044">
              <w:rPr>
                <w:rFonts w:ascii="Arial Narrow" w:hAnsi="Arial Narrow"/>
                <w:b/>
                <w:sz w:val="20"/>
              </w:rPr>
              <w:t>&amp;</w:t>
            </w:r>
            <w:r w:rsidRPr="00CD2044">
              <w:rPr>
                <w:rFonts w:ascii="Arial Narrow" w:hAnsi="Arial Narrow"/>
                <w:b/>
                <w:sz w:val="20"/>
              </w:rPr>
              <w:t xml:space="preserve"> Note 6)</w:t>
            </w:r>
          </w:p>
        </w:tc>
        <w:tc>
          <w:tcPr>
            <w:tcW w:w="3254" w:type="dxa"/>
            <w:shd w:val="clear" w:color="auto" w:fill="auto"/>
          </w:tcPr>
          <w:p w14:paraId="0F1FC994" w14:textId="77777777" w:rsidR="00476C3F" w:rsidRPr="007D4EF2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period profit forecast (including consensus forecast): financial adviser’s report</w:t>
            </w:r>
          </w:p>
        </w:tc>
        <w:tc>
          <w:tcPr>
            <w:tcW w:w="1588" w:type="dxa"/>
            <w:shd w:val="clear" w:color="auto" w:fill="auto"/>
          </w:tcPr>
          <w:p w14:paraId="5184E0C5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1AFD3A2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08CA7624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7DFD4C01" w14:textId="77777777" w:rsidR="00476C3F" w:rsidRPr="00CD2044" w:rsidRDefault="000307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>28.1(b)</w:t>
            </w:r>
          </w:p>
        </w:tc>
        <w:tc>
          <w:tcPr>
            <w:tcW w:w="3254" w:type="dxa"/>
            <w:shd w:val="clear" w:color="auto" w:fill="auto"/>
          </w:tcPr>
          <w:p w14:paraId="7959CF60" w14:textId="77777777" w:rsidR="00476C3F" w:rsidRPr="007D4EF2" w:rsidRDefault="009E0FA1" w:rsidP="001A2BFF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Post-approach profit forecast: reporting accountants’ report</w:t>
            </w:r>
            <w:r w:rsidR="001A2BFF">
              <w:rPr>
                <w:rFonts w:ascii="Arial Narrow" w:hAnsi="Arial Narrow"/>
                <w:sz w:val="20"/>
                <w:lang w:val="en-US"/>
              </w:rPr>
              <w:t xml:space="preserve"> (see Rule 28.1(a)(i))</w:t>
            </w:r>
          </w:p>
        </w:tc>
        <w:tc>
          <w:tcPr>
            <w:tcW w:w="1588" w:type="dxa"/>
            <w:shd w:val="clear" w:color="auto" w:fill="auto"/>
          </w:tcPr>
          <w:p w14:paraId="05759BC7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BE5C530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17A1BF5C" w14:textId="77777777" w:rsidTr="007A31E7">
        <w:trPr>
          <w:cantSplit/>
        </w:trPr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14:paraId="5A23034A" w14:textId="77777777" w:rsidR="00476C3F" w:rsidRPr="00CD2044" w:rsidRDefault="0003075E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>28.1(b)</w:t>
            </w:r>
          </w:p>
        </w:tc>
        <w:tc>
          <w:tcPr>
            <w:tcW w:w="3254" w:type="dxa"/>
            <w:shd w:val="clear" w:color="auto" w:fill="auto"/>
          </w:tcPr>
          <w:p w14:paraId="0C422147" w14:textId="77777777" w:rsidR="00476C3F" w:rsidRPr="007D4EF2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Post-approach profit forecast: financial adviser’s report</w:t>
            </w:r>
            <w:r w:rsidR="001A2BFF">
              <w:rPr>
                <w:rFonts w:ascii="Arial Narrow" w:hAnsi="Arial Narrow"/>
                <w:sz w:val="20"/>
                <w:lang w:val="en-US"/>
              </w:rPr>
              <w:t xml:space="preserve"> (see Rule 28.1(a)(ii))</w:t>
            </w:r>
          </w:p>
        </w:tc>
        <w:tc>
          <w:tcPr>
            <w:tcW w:w="1588" w:type="dxa"/>
            <w:shd w:val="clear" w:color="auto" w:fill="auto"/>
          </w:tcPr>
          <w:p w14:paraId="600349C7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9323ED7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E0FA1" w:rsidRPr="007D4EF2" w14:paraId="6AC5A833" w14:textId="77777777" w:rsidTr="007A31E7">
        <w:trPr>
          <w:cantSplit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ECA3" w14:textId="77777777" w:rsidR="009E0FA1" w:rsidRPr="00CD2044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28.1(c)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auto"/>
          </w:tcPr>
          <w:p w14:paraId="5D20F63D" w14:textId="77777777" w:rsidR="009E0FA1" w:rsidRPr="007D4EF2" w:rsidRDefault="009E0FA1" w:rsidP="0048032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Pre-approach profit forecast (other than MBO): </w:t>
            </w:r>
            <w:r w:rsidR="00480326">
              <w:rPr>
                <w:rFonts w:ascii="Arial Narrow" w:hAnsi="Arial Narrow"/>
                <w:sz w:val="20"/>
                <w:lang w:val="en-US"/>
              </w:rPr>
              <w:t>D</w:t>
            </w:r>
            <w:r>
              <w:rPr>
                <w:rFonts w:ascii="Arial Narrow" w:hAnsi="Arial Narrow"/>
                <w:sz w:val="20"/>
                <w:lang w:val="en-US"/>
              </w:rPr>
              <w:t>irectors’ confirmations; or</w:t>
            </w:r>
          </w:p>
        </w:tc>
        <w:tc>
          <w:tcPr>
            <w:tcW w:w="1588" w:type="dxa"/>
            <w:shd w:val="clear" w:color="auto" w:fill="auto"/>
          </w:tcPr>
          <w:p w14:paraId="549377DF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86A8D90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E0FA1" w:rsidRPr="007D4EF2" w14:paraId="563200CD" w14:textId="77777777" w:rsidTr="007A31E7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308" w14:textId="77777777" w:rsidR="009E0FA1" w:rsidRPr="00CD2044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auto"/>
          </w:tcPr>
          <w:p w14:paraId="185F5FF8" w14:textId="77777777" w:rsidR="009E0FA1" w:rsidRPr="007D4EF2" w:rsidRDefault="00480326" w:rsidP="00D3134C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="00D3134C">
              <w:rPr>
                <w:rFonts w:ascii="Arial Narrow" w:hAnsi="Arial Narrow"/>
                <w:sz w:val="20"/>
                <w:lang w:val="en-US"/>
              </w:rPr>
              <w:t>ta</w:t>
            </w:r>
            <w:r>
              <w:rPr>
                <w:rFonts w:ascii="Arial Narrow" w:hAnsi="Arial Narrow"/>
                <w:sz w:val="20"/>
                <w:lang w:val="en-US"/>
              </w:rPr>
              <w:t>tement that</w:t>
            </w:r>
            <w:r w:rsidR="00D3134C">
              <w:rPr>
                <w:rFonts w:ascii="Arial Narrow" w:hAnsi="Arial Narrow"/>
                <w:sz w:val="20"/>
                <w:lang w:val="en-US"/>
              </w:rPr>
              <w:t xml:space="preserve"> </w:t>
            </w:r>
            <w:proofErr w:type="gramStart"/>
            <w:r w:rsidR="009E0FA1">
              <w:rPr>
                <w:rFonts w:ascii="Arial Narrow" w:hAnsi="Arial Narrow"/>
                <w:sz w:val="20"/>
                <w:lang w:val="en-US"/>
              </w:rPr>
              <w:t>profit</w:t>
            </w:r>
            <w:proofErr w:type="gramEnd"/>
            <w:r w:rsidR="009E0FA1">
              <w:rPr>
                <w:rFonts w:ascii="Arial Narrow" w:hAnsi="Arial Narrow"/>
                <w:sz w:val="20"/>
                <w:lang w:val="en-US"/>
              </w:rPr>
              <w:t xml:space="preserve"> forecast no longer valid; or</w:t>
            </w:r>
          </w:p>
        </w:tc>
        <w:tc>
          <w:tcPr>
            <w:tcW w:w="1588" w:type="dxa"/>
            <w:shd w:val="clear" w:color="auto" w:fill="auto"/>
          </w:tcPr>
          <w:p w14:paraId="1DF15A34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F1E3DB4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E0FA1" w:rsidRPr="007D4EF2" w14:paraId="0A55BCEC" w14:textId="77777777" w:rsidTr="007A31E7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8D37" w14:textId="77777777" w:rsidR="009E0FA1" w:rsidRPr="00CD2044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auto"/>
          </w:tcPr>
          <w:p w14:paraId="08176188" w14:textId="77777777" w:rsidR="009E0FA1" w:rsidRPr="007D4EF2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New profit forecast (see also Rule 28.1(a))</w:t>
            </w:r>
          </w:p>
        </w:tc>
        <w:tc>
          <w:tcPr>
            <w:tcW w:w="1588" w:type="dxa"/>
            <w:shd w:val="clear" w:color="auto" w:fill="auto"/>
          </w:tcPr>
          <w:p w14:paraId="04055D20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CD24960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E0FA1" w:rsidRPr="007D4EF2" w14:paraId="70D3F57C" w14:textId="77777777" w:rsidTr="007A31E7">
        <w:trPr>
          <w:cantSplit/>
        </w:trPr>
        <w:tc>
          <w:tcPr>
            <w:tcW w:w="15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3D636F" w14:textId="77777777" w:rsidR="009E0FA1" w:rsidRPr="009E0FA1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E0FA1">
              <w:rPr>
                <w:rFonts w:ascii="Arial Narrow" w:hAnsi="Arial Narrow"/>
                <w:b/>
                <w:sz w:val="20"/>
              </w:rPr>
              <w:t>Note 2(a) (28.1(c))</w:t>
            </w:r>
          </w:p>
        </w:tc>
        <w:tc>
          <w:tcPr>
            <w:tcW w:w="3254" w:type="dxa"/>
            <w:shd w:val="clear" w:color="auto" w:fill="auto"/>
          </w:tcPr>
          <w:p w14:paraId="4C1C478E" w14:textId="77777777" w:rsidR="009E0FA1" w:rsidRPr="009E0FA1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E0FA1">
              <w:rPr>
                <w:rFonts w:ascii="Arial Narrow" w:hAnsi="Arial Narrow"/>
                <w:sz w:val="20"/>
                <w:lang w:val="en-US"/>
              </w:rPr>
              <w:t xml:space="preserve">Pre-offer period ordinary course profit forecast: </w:t>
            </w:r>
            <w:r w:rsidR="00480326">
              <w:rPr>
                <w:rFonts w:ascii="Arial Narrow" w:hAnsi="Arial Narrow"/>
                <w:sz w:val="20"/>
                <w:lang w:val="en-US"/>
              </w:rPr>
              <w:t>D</w:t>
            </w:r>
            <w:r w:rsidRPr="009E0FA1">
              <w:rPr>
                <w:rFonts w:ascii="Arial Narrow" w:hAnsi="Arial Narrow"/>
                <w:sz w:val="20"/>
                <w:lang w:val="en-US"/>
              </w:rPr>
              <w:t>irectors’ confirmations; or</w:t>
            </w:r>
          </w:p>
        </w:tc>
        <w:tc>
          <w:tcPr>
            <w:tcW w:w="1588" w:type="dxa"/>
            <w:shd w:val="clear" w:color="auto" w:fill="auto"/>
          </w:tcPr>
          <w:p w14:paraId="73F1EF32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3723E7D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E0FA1" w:rsidRPr="007D4EF2" w14:paraId="5886D68E" w14:textId="77777777" w:rsidTr="007A31E7">
        <w:trPr>
          <w:cantSplit/>
        </w:trPr>
        <w:tc>
          <w:tcPr>
            <w:tcW w:w="1508" w:type="dxa"/>
            <w:vMerge/>
            <w:shd w:val="clear" w:color="auto" w:fill="auto"/>
          </w:tcPr>
          <w:p w14:paraId="0E7D791B" w14:textId="77777777" w:rsidR="009E0FA1" w:rsidRPr="009E0FA1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4" w:type="dxa"/>
            <w:shd w:val="clear" w:color="auto" w:fill="auto"/>
          </w:tcPr>
          <w:p w14:paraId="7E9BB960" w14:textId="77777777" w:rsidR="009E0FA1" w:rsidRPr="009E0FA1" w:rsidRDefault="00480326" w:rsidP="0048032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="009E0FA1" w:rsidRPr="009E0FA1">
              <w:rPr>
                <w:rFonts w:ascii="Arial Narrow" w:hAnsi="Arial Narrow"/>
                <w:sz w:val="20"/>
                <w:lang w:val="en-US"/>
              </w:rPr>
              <w:t>tatement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that</w:t>
            </w:r>
            <w:r w:rsidR="00D3134C">
              <w:rPr>
                <w:rFonts w:ascii="Arial Narrow" w:hAnsi="Arial Narrow"/>
                <w:sz w:val="20"/>
                <w:lang w:val="en-US"/>
              </w:rPr>
              <w:t xml:space="preserve"> </w:t>
            </w:r>
            <w:proofErr w:type="gramStart"/>
            <w:r w:rsidR="009E0FA1" w:rsidRPr="009E0FA1">
              <w:rPr>
                <w:rFonts w:ascii="Arial Narrow" w:hAnsi="Arial Narrow"/>
                <w:sz w:val="20"/>
                <w:lang w:val="en-US"/>
              </w:rPr>
              <w:t>profit</w:t>
            </w:r>
            <w:proofErr w:type="gramEnd"/>
            <w:r w:rsidR="009E0FA1" w:rsidRPr="009E0FA1">
              <w:rPr>
                <w:rFonts w:ascii="Arial Narrow" w:hAnsi="Arial Narrow"/>
                <w:sz w:val="20"/>
                <w:lang w:val="en-US"/>
              </w:rPr>
              <w:t xml:space="preserve"> forecast no longer valid; or</w:t>
            </w:r>
          </w:p>
        </w:tc>
        <w:tc>
          <w:tcPr>
            <w:tcW w:w="1588" w:type="dxa"/>
            <w:shd w:val="clear" w:color="auto" w:fill="auto"/>
          </w:tcPr>
          <w:p w14:paraId="37239D66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C5A1FE7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E0FA1" w:rsidRPr="007D4EF2" w14:paraId="6E8DF7A2" w14:textId="77777777" w:rsidTr="007A31E7">
        <w:trPr>
          <w:cantSplit/>
        </w:trPr>
        <w:tc>
          <w:tcPr>
            <w:tcW w:w="1508" w:type="dxa"/>
            <w:vMerge/>
            <w:shd w:val="clear" w:color="auto" w:fill="auto"/>
          </w:tcPr>
          <w:p w14:paraId="47E1E651" w14:textId="77777777" w:rsidR="009E0FA1" w:rsidRPr="009E0FA1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4" w:type="dxa"/>
            <w:shd w:val="clear" w:color="auto" w:fill="auto"/>
          </w:tcPr>
          <w:p w14:paraId="404D9E5F" w14:textId="77777777" w:rsidR="009E0FA1" w:rsidRPr="009E0FA1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E0FA1">
              <w:rPr>
                <w:rFonts w:ascii="Arial Narrow" w:hAnsi="Arial Narrow"/>
                <w:sz w:val="20"/>
                <w:lang w:val="en-US"/>
              </w:rPr>
              <w:t>New profit forecast (see also Rule 28.1(a))</w:t>
            </w:r>
          </w:p>
        </w:tc>
        <w:tc>
          <w:tcPr>
            <w:tcW w:w="1588" w:type="dxa"/>
            <w:shd w:val="clear" w:color="auto" w:fill="auto"/>
          </w:tcPr>
          <w:p w14:paraId="7CC18065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6679363" w14:textId="77777777" w:rsidR="009E0FA1" w:rsidRPr="007D4EF2" w:rsidRDefault="009E0FA1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F5679C" w:rsidRPr="007D4EF2" w14:paraId="3E16410B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5761E44E" w14:textId="77777777" w:rsidR="00F5679C" w:rsidRPr="009E0FA1" w:rsidRDefault="00F5679C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Note 2(b) (28.1(c))</w:t>
            </w:r>
          </w:p>
        </w:tc>
        <w:tc>
          <w:tcPr>
            <w:tcW w:w="3254" w:type="dxa"/>
            <w:shd w:val="clear" w:color="auto" w:fill="auto"/>
          </w:tcPr>
          <w:p w14:paraId="61807840" w14:textId="77777777" w:rsidR="00F5679C" w:rsidRPr="009E0FA1" w:rsidRDefault="00F5679C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 period ordinary course profit forecast: (with agreement of other parties and consent of the Panel) Directors’ confirmations</w:t>
            </w:r>
          </w:p>
        </w:tc>
        <w:tc>
          <w:tcPr>
            <w:tcW w:w="1588" w:type="dxa"/>
            <w:shd w:val="clear" w:color="auto" w:fill="auto"/>
          </w:tcPr>
          <w:p w14:paraId="18920904" w14:textId="77777777" w:rsidR="00F5679C" w:rsidRPr="007D4EF2" w:rsidRDefault="00F5679C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3570A928" w14:textId="77777777" w:rsidR="00F5679C" w:rsidRPr="007D4EF2" w:rsidRDefault="00F5679C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65668" w:rsidRPr="007D4EF2" w14:paraId="3AB62C27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76CA10D8" w14:textId="77777777" w:rsidR="00265668" w:rsidRPr="009E0FA1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E0FA1">
              <w:rPr>
                <w:rFonts w:ascii="Arial Narrow" w:hAnsi="Arial Narrow"/>
                <w:b/>
                <w:sz w:val="20"/>
              </w:rPr>
              <w:t>Note 3(b) (28.1(a)(</w:t>
            </w:r>
            <w:proofErr w:type="spellStart"/>
            <w:r w:rsidRPr="009E0FA1"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 w:rsidRPr="009E0FA1">
              <w:rPr>
                <w:rFonts w:ascii="Arial Narrow" w:hAnsi="Arial Narrow"/>
                <w:b/>
                <w:sz w:val="20"/>
              </w:rPr>
              <w:t>))</w:t>
            </w:r>
          </w:p>
        </w:tc>
        <w:tc>
          <w:tcPr>
            <w:tcW w:w="3254" w:type="dxa"/>
            <w:shd w:val="clear" w:color="auto" w:fill="auto"/>
          </w:tcPr>
          <w:p w14:paraId="40F5241B" w14:textId="77777777" w:rsidR="00265668" w:rsidRPr="009E0FA1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E0FA1">
              <w:rPr>
                <w:rFonts w:ascii="Arial Narrow" w:hAnsi="Arial Narrow"/>
                <w:sz w:val="20"/>
                <w:lang w:val="en-US"/>
              </w:rPr>
              <w:t>Pre-approach profit forecast (MBO): r</w:t>
            </w:r>
            <w:r w:rsidR="00B43E02" w:rsidRPr="009E0FA1">
              <w:rPr>
                <w:rFonts w:ascii="Arial Narrow" w:hAnsi="Arial Narrow"/>
                <w:sz w:val="20"/>
                <w:lang w:val="en-US"/>
              </w:rPr>
              <w:t>epor</w:t>
            </w:r>
            <w:r w:rsidRPr="009E0FA1">
              <w:rPr>
                <w:rFonts w:ascii="Arial Narrow" w:hAnsi="Arial Narrow"/>
                <w:sz w:val="20"/>
                <w:lang w:val="en-US"/>
              </w:rPr>
              <w:t>ting accountants’ report</w:t>
            </w:r>
          </w:p>
        </w:tc>
        <w:tc>
          <w:tcPr>
            <w:tcW w:w="1588" w:type="dxa"/>
            <w:shd w:val="clear" w:color="auto" w:fill="auto"/>
          </w:tcPr>
          <w:p w14:paraId="1777008B" w14:textId="77777777" w:rsidR="00265668" w:rsidRPr="007D4EF2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B5C9B14" w14:textId="77777777" w:rsidR="00265668" w:rsidRPr="007D4EF2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65668" w:rsidRPr="007D4EF2" w14:paraId="4EA570D7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79C89E7E" w14:textId="77777777" w:rsidR="00265668" w:rsidRPr="009E0FA1" w:rsidRDefault="00265668" w:rsidP="00265668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E0FA1">
              <w:rPr>
                <w:rFonts w:ascii="Arial Narrow" w:hAnsi="Arial Narrow"/>
                <w:b/>
                <w:sz w:val="20"/>
              </w:rPr>
              <w:t>Note 3(b) (28.1(a)(ii))</w:t>
            </w:r>
          </w:p>
        </w:tc>
        <w:tc>
          <w:tcPr>
            <w:tcW w:w="3254" w:type="dxa"/>
            <w:shd w:val="clear" w:color="auto" w:fill="auto"/>
          </w:tcPr>
          <w:p w14:paraId="20754F2C" w14:textId="77777777" w:rsidR="00265668" w:rsidRPr="009E0FA1" w:rsidRDefault="009E0FA1" w:rsidP="00480326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E0FA1">
              <w:rPr>
                <w:rFonts w:ascii="Arial Narrow" w:hAnsi="Arial Narrow"/>
                <w:sz w:val="20"/>
                <w:lang w:val="en-US"/>
              </w:rPr>
              <w:t>Pre-approach profit forecast (MBO):</w:t>
            </w:r>
            <w:r w:rsidR="00480326">
              <w:rPr>
                <w:rFonts w:ascii="Arial Narrow" w:hAnsi="Arial Narrow"/>
                <w:sz w:val="20"/>
                <w:lang w:val="en-US"/>
              </w:rPr>
              <w:t xml:space="preserve"> f</w:t>
            </w:r>
            <w:r w:rsidR="00B43E02" w:rsidRPr="009E0FA1">
              <w:rPr>
                <w:rFonts w:ascii="Arial Narrow" w:hAnsi="Arial Narrow"/>
                <w:sz w:val="20"/>
                <w:lang w:val="en-US"/>
              </w:rPr>
              <w:t>inancial adviser’s report</w:t>
            </w:r>
          </w:p>
        </w:tc>
        <w:tc>
          <w:tcPr>
            <w:tcW w:w="1588" w:type="dxa"/>
            <w:shd w:val="clear" w:color="auto" w:fill="auto"/>
          </w:tcPr>
          <w:p w14:paraId="4F6B0727" w14:textId="77777777" w:rsidR="00265668" w:rsidRPr="007D4EF2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7FE3789" w14:textId="77777777" w:rsidR="00265668" w:rsidRPr="007D4EF2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265668" w:rsidRPr="007D4EF2" w14:paraId="0657D22B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3BE6BB6D" w14:textId="77777777" w:rsidR="00265668" w:rsidRPr="009E0FA1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9E0FA1">
              <w:rPr>
                <w:rFonts w:ascii="Arial Narrow" w:hAnsi="Arial Narrow"/>
                <w:b/>
                <w:sz w:val="20"/>
              </w:rPr>
              <w:t>28.2(a)</w:t>
            </w:r>
          </w:p>
        </w:tc>
        <w:tc>
          <w:tcPr>
            <w:tcW w:w="3254" w:type="dxa"/>
            <w:shd w:val="clear" w:color="auto" w:fill="auto"/>
          </w:tcPr>
          <w:p w14:paraId="1DB11DD7" w14:textId="77777777" w:rsidR="00265668" w:rsidRPr="009E0FA1" w:rsidRDefault="009E0FA1" w:rsidP="009E0FA1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E0FA1">
              <w:rPr>
                <w:rFonts w:ascii="Arial Narrow" w:hAnsi="Arial Narrow"/>
                <w:sz w:val="20"/>
                <w:lang w:val="en-US"/>
              </w:rPr>
              <w:t>Future profit forecast: d</w:t>
            </w:r>
            <w:r w:rsidR="00265668" w:rsidRPr="009E0FA1">
              <w:rPr>
                <w:rFonts w:ascii="Arial Narrow" w:hAnsi="Arial Narrow"/>
                <w:sz w:val="20"/>
                <w:lang w:val="en-US"/>
              </w:rPr>
              <w:t>irectors’ confirmations/statement</w:t>
            </w:r>
          </w:p>
        </w:tc>
        <w:tc>
          <w:tcPr>
            <w:tcW w:w="1588" w:type="dxa"/>
            <w:shd w:val="clear" w:color="auto" w:fill="auto"/>
          </w:tcPr>
          <w:p w14:paraId="2ED28165" w14:textId="77777777" w:rsidR="00265668" w:rsidRPr="007D4EF2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5CBAD3AF" w14:textId="77777777" w:rsidR="00265668" w:rsidRPr="007D4EF2" w:rsidRDefault="0026566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4AB30E43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72267D2E" w14:textId="77777777" w:rsidR="00476C3F" w:rsidRPr="00CD2044" w:rsidRDefault="007F145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>28.2(b)</w:t>
            </w:r>
          </w:p>
        </w:tc>
        <w:tc>
          <w:tcPr>
            <w:tcW w:w="3254" w:type="dxa"/>
            <w:shd w:val="clear" w:color="auto" w:fill="auto"/>
          </w:tcPr>
          <w:p w14:paraId="499D4B71" w14:textId="77777777" w:rsidR="00476C3F" w:rsidRPr="007D4EF2" w:rsidRDefault="00BF2EF0" w:rsidP="00BF2EF0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="00F361FC">
              <w:rPr>
                <w:rFonts w:ascii="Arial Narrow" w:hAnsi="Arial Narrow"/>
                <w:sz w:val="20"/>
                <w:lang w:val="en-US"/>
              </w:rPr>
              <w:t xml:space="preserve">uture </w:t>
            </w:r>
            <w:r>
              <w:rPr>
                <w:rFonts w:ascii="Arial Narrow" w:hAnsi="Arial Narrow"/>
                <w:sz w:val="20"/>
                <w:lang w:val="en-US"/>
              </w:rPr>
              <w:t xml:space="preserve">profit forecast: </w:t>
            </w:r>
            <w:r w:rsidR="00F361FC">
              <w:rPr>
                <w:rFonts w:ascii="Arial Narrow" w:hAnsi="Arial Narrow"/>
                <w:sz w:val="20"/>
                <w:lang w:val="en-US"/>
              </w:rPr>
              <w:t>c</w:t>
            </w:r>
            <w:r w:rsidR="007F1452">
              <w:rPr>
                <w:rFonts w:ascii="Arial Narrow" w:hAnsi="Arial Narrow"/>
                <w:sz w:val="20"/>
                <w:lang w:val="en-US"/>
              </w:rPr>
              <w:t>orresponding profit forecast</w:t>
            </w:r>
            <w:r w:rsidR="00F361FC">
              <w:rPr>
                <w:rFonts w:ascii="Arial Narrow" w:hAnsi="Arial Narrow"/>
                <w:sz w:val="20"/>
                <w:lang w:val="en-US"/>
              </w:rPr>
              <w:t>s</w:t>
            </w:r>
            <w:r w:rsidR="007F1452">
              <w:rPr>
                <w:rFonts w:ascii="Arial Narrow" w:hAnsi="Arial Narrow"/>
                <w:sz w:val="20"/>
                <w:lang w:val="en-US"/>
              </w:rPr>
              <w:t xml:space="preserve"> for </w:t>
            </w:r>
            <w:r w:rsidR="00AA04F3">
              <w:rPr>
                <w:rFonts w:ascii="Arial Narrow" w:hAnsi="Arial Narrow"/>
                <w:sz w:val="20"/>
                <w:lang w:val="en-US"/>
              </w:rPr>
              <w:t>current</w:t>
            </w:r>
            <w:r w:rsidR="00911BF4">
              <w:rPr>
                <w:rFonts w:ascii="Arial Narrow" w:hAnsi="Arial Narrow"/>
                <w:sz w:val="20"/>
                <w:lang w:val="en-US"/>
              </w:rPr>
              <w:t>/</w:t>
            </w:r>
            <w:r w:rsidR="007F1452">
              <w:rPr>
                <w:rFonts w:ascii="Arial Narrow" w:hAnsi="Arial Narrow"/>
                <w:sz w:val="20"/>
                <w:lang w:val="en-US"/>
              </w:rPr>
              <w:t>each intervening</w:t>
            </w:r>
            <w:r w:rsidR="00AA04F3">
              <w:rPr>
                <w:rFonts w:ascii="Arial Narrow" w:hAnsi="Arial Narrow"/>
                <w:sz w:val="20"/>
                <w:lang w:val="en-US"/>
              </w:rPr>
              <w:t xml:space="preserve"> financial</w:t>
            </w:r>
            <w:r w:rsidR="007F1452">
              <w:rPr>
                <w:rFonts w:ascii="Arial Narrow" w:hAnsi="Arial Narrow"/>
                <w:sz w:val="20"/>
                <w:lang w:val="en-US"/>
              </w:rPr>
              <w:t xml:space="preserve"> year (see</w:t>
            </w:r>
            <w:r w:rsidR="00F361FC">
              <w:rPr>
                <w:rFonts w:ascii="Arial Narrow" w:hAnsi="Arial Narrow"/>
                <w:sz w:val="20"/>
                <w:lang w:val="en-US"/>
              </w:rPr>
              <w:t xml:space="preserve"> also</w:t>
            </w:r>
            <w:r w:rsidR="007F1452">
              <w:rPr>
                <w:rFonts w:ascii="Arial Narrow" w:hAnsi="Arial Narrow"/>
                <w:sz w:val="20"/>
                <w:lang w:val="en-US"/>
              </w:rPr>
              <w:t xml:space="preserve"> Rule 28.1)</w:t>
            </w:r>
          </w:p>
        </w:tc>
        <w:tc>
          <w:tcPr>
            <w:tcW w:w="1588" w:type="dxa"/>
            <w:shd w:val="clear" w:color="auto" w:fill="auto"/>
          </w:tcPr>
          <w:p w14:paraId="32640019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416494F3" w14:textId="77777777" w:rsidR="00476C3F" w:rsidRPr="007D4EF2" w:rsidRDefault="00476C3F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5235EF1B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5236EDF7" w14:textId="77777777" w:rsidR="004F5848" w:rsidRPr="00CD2044" w:rsidRDefault="007F145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>28.3(c)</w:t>
            </w:r>
          </w:p>
        </w:tc>
        <w:tc>
          <w:tcPr>
            <w:tcW w:w="3254" w:type="dxa"/>
            <w:shd w:val="clear" w:color="auto" w:fill="auto"/>
          </w:tcPr>
          <w:p w14:paraId="2053FD77" w14:textId="77777777" w:rsidR="004F5848" w:rsidRPr="007D4EF2" w:rsidRDefault="007F145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Forecasts of profit before tax</w:t>
            </w:r>
          </w:p>
        </w:tc>
        <w:tc>
          <w:tcPr>
            <w:tcW w:w="1588" w:type="dxa"/>
            <w:shd w:val="clear" w:color="auto" w:fill="auto"/>
          </w:tcPr>
          <w:p w14:paraId="512F84D0" w14:textId="77777777" w:rsidR="004F5848" w:rsidRPr="007D4EF2" w:rsidRDefault="004F584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2706FD73" w14:textId="77777777" w:rsidR="004F5848" w:rsidRPr="007D4EF2" w:rsidRDefault="004F584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1F956F6E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7A22BFD6" w14:textId="77777777" w:rsidR="004F5848" w:rsidRPr="00CD2044" w:rsidRDefault="007F145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>28.4(a)</w:t>
            </w:r>
          </w:p>
        </w:tc>
        <w:tc>
          <w:tcPr>
            <w:tcW w:w="3254" w:type="dxa"/>
            <w:shd w:val="clear" w:color="auto" w:fill="auto"/>
          </w:tcPr>
          <w:p w14:paraId="22267D90" w14:textId="77777777" w:rsidR="004F5848" w:rsidRPr="007D4EF2" w:rsidRDefault="007F1452" w:rsidP="007D4EF2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Principal assumptions</w:t>
            </w:r>
          </w:p>
        </w:tc>
        <w:tc>
          <w:tcPr>
            <w:tcW w:w="1588" w:type="dxa"/>
            <w:shd w:val="clear" w:color="auto" w:fill="auto"/>
          </w:tcPr>
          <w:p w14:paraId="39ABCADD" w14:textId="77777777" w:rsidR="004F5848" w:rsidRPr="007D4EF2" w:rsidRDefault="004F584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E925A0D" w14:textId="77777777" w:rsidR="004F5848" w:rsidRPr="007D4EF2" w:rsidRDefault="004F584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E63C3" w:rsidRPr="007D4EF2" w14:paraId="58E31537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42E0861C" w14:textId="77777777" w:rsidR="004F5848" w:rsidRPr="00CD2044" w:rsidRDefault="007F1452" w:rsidP="00520897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>28.8(c)</w:t>
            </w:r>
          </w:p>
        </w:tc>
        <w:tc>
          <w:tcPr>
            <w:tcW w:w="3254" w:type="dxa"/>
            <w:shd w:val="clear" w:color="auto" w:fill="auto"/>
          </w:tcPr>
          <w:p w14:paraId="3A85AE06" w14:textId="77777777" w:rsidR="004F5848" w:rsidRPr="007D4EF2" w:rsidRDefault="00F361FC" w:rsidP="00911BF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</w:t>
            </w:r>
            <w:r w:rsidR="007F1452">
              <w:rPr>
                <w:rFonts w:ascii="Arial Narrow" w:hAnsi="Arial Narrow"/>
                <w:sz w:val="20"/>
                <w:lang w:val="en-US"/>
              </w:rPr>
              <w:t>onsensus forec</w:t>
            </w:r>
            <w:r w:rsidR="00911BF4">
              <w:rPr>
                <w:rFonts w:ascii="Arial Narrow" w:hAnsi="Arial Narrow"/>
                <w:sz w:val="20"/>
                <w:lang w:val="en-US"/>
              </w:rPr>
              <w:t xml:space="preserve">asts relating to another party </w:t>
            </w:r>
          </w:p>
        </w:tc>
        <w:tc>
          <w:tcPr>
            <w:tcW w:w="1588" w:type="dxa"/>
            <w:shd w:val="clear" w:color="auto" w:fill="auto"/>
          </w:tcPr>
          <w:p w14:paraId="3571EB74" w14:textId="77777777" w:rsidR="004F5848" w:rsidRPr="007D4EF2" w:rsidRDefault="004F584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6E62A1B8" w14:textId="77777777" w:rsidR="004F5848" w:rsidRPr="007D4EF2" w:rsidRDefault="004F5848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11BF4" w:rsidRPr="007D4EF2" w14:paraId="5F12A8A8" w14:textId="77777777" w:rsidTr="007A31E7">
        <w:trPr>
          <w:cantSplit/>
        </w:trPr>
        <w:tc>
          <w:tcPr>
            <w:tcW w:w="1508" w:type="dxa"/>
            <w:shd w:val="clear" w:color="auto" w:fill="auto"/>
          </w:tcPr>
          <w:p w14:paraId="1AB1C51C" w14:textId="77777777" w:rsidR="00911BF4" w:rsidRPr="00CD2044" w:rsidRDefault="00911BF4" w:rsidP="0005183F">
            <w:pPr>
              <w:spacing w:before="120" w:after="120" w:line="240" w:lineRule="auto"/>
              <w:jc w:val="left"/>
              <w:rPr>
                <w:rFonts w:ascii="Arial Narrow" w:hAnsi="Arial Narrow"/>
                <w:b/>
                <w:sz w:val="20"/>
              </w:rPr>
            </w:pPr>
            <w:r w:rsidRPr="00CD2044">
              <w:rPr>
                <w:rFonts w:ascii="Arial Narrow" w:hAnsi="Arial Narrow"/>
                <w:b/>
                <w:sz w:val="20"/>
              </w:rPr>
              <w:t>23.</w:t>
            </w:r>
            <w:r w:rsidR="0005183F">
              <w:rPr>
                <w:rFonts w:ascii="Arial Narrow" w:hAnsi="Arial Narrow"/>
                <w:b/>
                <w:sz w:val="20"/>
              </w:rPr>
              <w:t>2</w:t>
            </w:r>
            <w:r w:rsidRPr="00CD2044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4" w:type="dxa"/>
            <w:shd w:val="clear" w:color="auto" w:fill="auto"/>
          </w:tcPr>
          <w:p w14:paraId="30E38CC1" w14:textId="77777777" w:rsidR="00911BF4" w:rsidRDefault="00AA04F3" w:rsidP="00911BF4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</w:t>
            </w:r>
            <w:r w:rsidR="00911BF4">
              <w:rPr>
                <w:rFonts w:ascii="Arial Narrow" w:hAnsi="Arial Narrow"/>
                <w:sz w:val="20"/>
                <w:lang w:val="en-US"/>
              </w:rPr>
              <w:t>onsent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statements</w:t>
            </w:r>
          </w:p>
        </w:tc>
        <w:tc>
          <w:tcPr>
            <w:tcW w:w="1588" w:type="dxa"/>
            <w:shd w:val="clear" w:color="auto" w:fill="auto"/>
          </w:tcPr>
          <w:p w14:paraId="249B89D4" w14:textId="77777777" w:rsidR="00911BF4" w:rsidRPr="007D4EF2" w:rsidRDefault="00911BF4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E0348F4" w14:textId="77777777" w:rsidR="00911BF4" w:rsidRPr="007D4EF2" w:rsidRDefault="00911BF4" w:rsidP="00520897">
            <w:pPr>
              <w:spacing w:before="120" w:after="120" w:line="240" w:lineRule="auto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69DD2426" w14:textId="77777777" w:rsidR="00C87616" w:rsidRPr="007D4EF2" w:rsidRDefault="00C87616" w:rsidP="00C87616">
      <w:pPr>
        <w:jc w:val="left"/>
        <w:rPr>
          <w:rFonts w:ascii="Arial Narrow" w:hAnsi="Arial Narrow"/>
          <w:sz w:val="20"/>
        </w:rPr>
      </w:pPr>
    </w:p>
    <w:sectPr w:rsidR="00C87616" w:rsidRPr="007D4EF2" w:rsidSect="007A3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B6F5" w14:textId="77777777" w:rsidR="00F803EA" w:rsidRDefault="00F803EA" w:rsidP="00C87616">
      <w:pPr>
        <w:spacing w:after="0" w:line="240" w:lineRule="auto"/>
      </w:pPr>
      <w:r>
        <w:separator/>
      </w:r>
    </w:p>
  </w:endnote>
  <w:endnote w:type="continuationSeparator" w:id="0">
    <w:p w14:paraId="1AD376C1" w14:textId="77777777" w:rsidR="00F803EA" w:rsidRDefault="00F803EA" w:rsidP="00C8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58FC" w14:textId="77777777" w:rsidR="00D772FB" w:rsidRDefault="00D77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6C37" w14:textId="77777777" w:rsidR="00D772FB" w:rsidRDefault="00D77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9689" w14:textId="56DA7770" w:rsidR="00520897" w:rsidRDefault="00404FD4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D772FB">
      <w:rPr>
        <w:rFonts w:ascii="Arial Narrow" w:hAnsi="Arial Narrow"/>
        <w:sz w:val="16"/>
      </w:rPr>
      <w:t>#185953v10</w:t>
    </w:r>
    <w:r>
      <w:rPr>
        <w:rFonts w:ascii="Arial Narrow" w:hAnsi="Arial Narrow"/>
        <w:sz w:val="16"/>
      </w:rPr>
      <w:fldChar w:fldCharType="end"/>
    </w:r>
  </w:p>
  <w:p w14:paraId="1C46C769" w14:textId="77777777" w:rsidR="00BF2EF0" w:rsidRPr="007D535C" w:rsidRDefault="00BF2EF0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513DBE">
      <w:rPr>
        <w:rFonts w:ascii="Arial Narrow" w:hAnsi="Arial Narrow"/>
        <w:sz w:val="16"/>
      </w:rPr>
      <w:t>13</w:t>
    </w:r>
    <w:r w:rsidR="006A77FA">
      <w:rPr>
        <w:rFonts w:ascii="Arial Narrow" w:hAnsi="Arial Narrow"/>
        <w:sz w:val="16"/>
      </w:rPr>
      <w:t xml:space="preserve"> December</w:t>
    </w:r>
    <w:r w:rsidR="00BE3356">
      <w:rPr>
        <w:rFonts w:ascii="Arial Narrow" w:hAnsi="Arial Narrow"/>
        <w:sz w:val="16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ADF4" w14:textId="77777777" w:rsidR="00F803EA" w:rsidRDefault="00F803EA" w:rsidP="00C87616">
      <w:pPr>
        <w:spacing w:after="0" w:line="240" w:lineRule="auto"/>
      </w:pPr>
      <w:r>
        <w:separator/>
      </w:r>
    </w:p>
  </w:footnote>
  <w:footnote w:type="continuationSeparator" w:id="0">
    <w:p w14:paraId="7992B78A" w14:textId="77777777" w:rsidR="00F803EA" w:rsidRDefault="00F803EA" w:rsidP="00C8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7231" w14:textId="77777777" w:rsidR="00D772FB" w:rsidRDefault="00D77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8CD8" w14:textId="666044C7" w:rsidR="00520897" w:rsidRPr="007D535C" w:rsidRDefault="00520897">
    <w:pPr>
      <w:pStyle w:val="Header"/>
      <w:jc w:val="right"/>
      <w:rPr>
        <w:rFonts w:ascii="Arial Narrow" w:hAnsi="Arial Narrow"/>
        <w:sz w:val="20"/>
      </w:rPr>
    </w:pPr>
    <w:r w:rsidRPr="007D535C">
      <w:rPr>
        <w:rStyle w:val="PageNumber"/>
        <w:rFonts w:ascii="Arial Narrow" w:hAnsi="Arial Narrow"/>
        <w:sz w:val="20"/>
      </w:rPr>
      <w:fldChar w:fldCharType="begin"/>
    </w:r>
    <w:r w:rsidRPr="007D535C">
      <w:rPr>
        <w:rStyle w:val="PageNumber"/>
        <w:rFonts w:ascii="Arial Narrow" w:hAnsi="Arial Narrow"/>
        <w:sz w:val="20"/>
      </w:rPr>
      <w:instrText xml:space="preserve"> PAGE </w:instrText>
    </w:r>
    <w:r w:rsidRPr="007D535C">
      <w:rPr>
        <w:rStyle w:val="PageNumber"/>
        <w:rFonts w:ascii="Arial Narrow" w:hAnsi="Arial Narrow"/>
        <w:sz w:val="20"/>
      </w:rPr>
      <w:fldChar w:fldCharType="separate"/>
    </w:r>
    <w:r w:rsidR="005B3486">
      <w:rPr>
        <w:rStyle w:val="PageNumber"/>
        <w:rFonts w:ascii="Arial Narrow" w:hAnsi="Arial Narrow"/>
        <w:noProof/>
        <w:sz w:val="20"/>
      </w:rPr>
      <w:t>2</w:t>
    </w:r>
    <w:r w:rsidRPr="007D535C">
      <w:rPr>
        <w:rStyle w:val="PageNumber"/>
        <w:rFonts w:ascii="Arial Narrow" w:hAnsi="Arial Narrow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7D87" w14:textId="77777777" w:rsidR="009E2905" w:rsidRPr="009E2905" w:rsidRDefault="009E2905" w:rsidP="00E64E27">
    <w:pPr>
      <w:spacing w:after="0"/>
      <w:jc w:val="center"/>
      <w:rPr>
        <w:rFonts w:ascii="Arial Narrow" w:hAnsi="Arial Narrow"/>
        <w:b/>
        <w:sz w:val="28"/>
      </w:rPr>
    </w:pPr>
    <w:r w:rsidRPr="009E2905">
      <w:rPr>
        <w:rFonts w:ascii="Arial Narrow" w:hAnsi="Arial Narrow"/>
        <w:b/>
        <w:sz w:val="28"/>
      </w:rPr>
      <w:t>THE TAKEOVER PANEL</w:t>
    </w:r>
  </w:p>
  <w:p w14:paraId="377C8749" w14:textId="77777777" w:rsidR="009E2905" w:rsidRPr="00E64E27" w:rsidRDefault="009E2905" w:rsidP="004E191E">
    <w:pPr>
      <w:spacing w:after="0" w:line="240" w:lineRule="auto"/>
      <w:jc w:val="center"/>
      <w:rPr>
        <w:rFonts w:ascii="Arial Narrow" w:hAnsi="Arial Narrow"/>
        <w:sz w:val="20"/>
      </w:rPr>
    </w:pPr>
    <w:r w:rsidRPr="009E0FA1">
      <w:rPr>
        <w:rFonts w:ascii="Arial Narrow" w:hAnsi="Arial Narrow"/>
        <w:sz w:val="20"/>
      </w:rPr>
      <w:t>SUPPLEMEN</w:t>
    </w:r>
    <w:r w:rsidR="00E64E27">
      <w:rPr>
        <w:rFonts w:ascii="Arial Narrow" w:hAnsi="Arial Narrow"/>
        <w:sz w:val="20"/>
      </w:rPr>
      <w:t>TA</w:t>
    </w:r>
    <w:r w:rsidR="004E191E">
      <w:rPr>
        <w:rFonts w:ascii="Arial Narrow" w:hAnsi="Arial Narrow"/>
        <w:sz w:val="20"/>
      </w:rPr>
      <w:t>RY FORM</w:t>
    </w:r>
    <w:r w:rsidR="00E64E27">
      <w:rPr>
        <w:rFonts w:ascii="Arial Narrow" w:hAnsi="Arial Narrow"/>
        <w:sz w:val="20"/>
      </w:rPr>
      <w:t>:  PROFIT FORECAST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20521C2C"/>
    <w:multiLevelType w:val="hybridMultilevel"/>
    <w:tmpl w:val="D752F502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F47CEE"/>
    <w:multiLevelType w:val="hybridMultilevel"/>
    <w:tmpl w:val="16226A96"/>
    <w:lvl w:ilvl="0" w:tplc="1F9C06F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num w:numId="1" w16cid:durableId="698089690">
    <w:abstractNumId w:val="3"/>
  </w:num>
  <w:num w:numId="2" w16cid:durableId="1208569841">
    <w:abstractNumId w:val="0"/>
  </w:num>
  <w:num w:numId="3" w16cid:durableId="323512267">
    <w:abstractNumId w:val="2"/>
  </w:num>
  <w:num w:numId="4" w16cid:durableId="782501636">
    <w:abstractNumId w:val="1"/>
  </w:num>
  <w:num w:numId="5" w16cid:durableId="1443575093">
    <w:abstractNumId w:val="0"/>
  </w:num>
  <w:num w:numId="6" w16cid:durableId="2524023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970249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9A"/>
    <w:rsid w:val="00016B0E"/>
    <w:rsid w:val="0003075E"/>
    <w:rsid w:val="00030F93"/>
    <w:rsid w:val="000323AC"/>
    <w:rsid w:val="0005183F"/>
    <w:rsid w:val="00051B47"/>
    <w:rsid w:val="000A3BFA"/>
    <w:rsid w:val="000B249B"/>
    <w:rsid w:val="000E5409"/>
    <w:rsid w:val="00100750"/>
    <w:rsid w:val="001045D9"/>
    <w:rsid w:val="0013502C"/>
    <w:rsid w:val="001526C4"/>
    <w:rsid w:val="001A2BFF"/>
    <w:rsid w:val="001C4758"/>
    <w:rsid w:val="0023228F"/>
    <w:rsid w:val="00260989"/>
    <w:rsid w:val="00265668"/>
    <w:rsid w:val="002752D5"/>
    <w:rsid w:val="00286E71"/>
    <w:rsid w:val="002A26BA"/>
    <w:rsid w:val="002B43DA"/>
    <w:rsid w:val="002C496D"/>
    <w:rsid w:val="002F1EAC"/>
    <w:rsid w:val="00321200"/>
    <w:rsid w:val="00383202"/>
    <w:rsid w:val="003907C8"/>
    <w:rsid w:val="00404FD4"/>
    <w:rsid w:val="00422408"/>
    <w:rsid w:val="00430759"/>
    <w:rsid w:val="00436735"/>
    <w:rsid w:val="00476C3F"/>
    <w:rsid w:val="00480206"/>
    <w:rsid w:val="00480326"/>
    <w:rsid w:val="00490453"/>
    <w:rsid w:val="004B0BC1"/>
    <w:rsid w:val="004B30C6"/>
    <w:rsid w:val="004D22E9"/>
    <w:rsid w:val="004E191E"/>
    <w:rsid w:val="004E3732"/>
    <w:rsid w:val="004E65C9"/>
    <w:rsid w:val="004F5848"/>
    <w:rsid w:val="00513DBE"/>
    <w:rsid w:val="00520897"/>
    <w:rsid w:val="005250C2"/>
    <w:rsid w:val="00525D69"/>
    <w:rsid w:val="005425B9"/>
    <w:rsid w:val="005578AC"/>
    <w:rsid w:val="005851B3"/>
    <w:rsid w:val="005A23EF"/>
    <w:rsid w:val="005B3486"/>
    <w:rsid w:val="005B41C0"/>
    <w:rsid w:val="005F0ED2"/>
    <w:rsid w:val="00622B6D"/>
    <w:rsid w:val="0064374F"/>
    <w:rsid w:val="00647CEF"/>
    <w:rsid w:val="00690469"/>
    <w:rsid w:val="006A31CD"/>
    <w:rsid w:val="006A77FA"/>
    <w:rsid w:val="006C0552"/>
    <w:rsid w:val="006E4E8C"/>
    <w:rsid w:val="006F7CC5"/>
    <w:rsid w:val="00706828"/>
    <w:rsid w:val="007073B8"/>
    <w:rsid w:val="00720B92"/>
    <w:rsid w:val="007335F8"/>
    <w:rsid w:val="00762D8B"/>
    <w:rsid w:val="007A31E7"/>
    <w:rsid w:val="007A66CB"/>
    <w:rsid w:val="007B3015"/>
    <w:rsid w:val="007D4EF2"/>
    <w:rsid w:val="007D535C"/>
    <w:rsid w:val="007E1692"/>
    <w:rsid w:val="007F1452"/>
    <w:rsid w:val="00813B27"/>
    <w:rsid w:val="00813E87"/>
    <w:rsid w:val="00867DBD"/>
    <w:rsid w:val="00870201"/>
    <w:rsid w:val="00890717"/>
    <w:rsid w:val="008C2811"/>
    <w:rsid w:val="008E7380"/>
    <w:rsid w:val="009073CE"/>
    <w:rsid w:val="009103F4"/>
    <w:rsid w:val="00911BF4"/>
    <w:rsid w:val="00914D82"/>
    <w:rsid w:val="00921EDB"/>
    <w:rsid w:val="00922AA8"/>
    <w:rsid w:val="00925CDB"/>
    <w:rsid w:val="00946539"/>
    <w:rsid w:val="0095358E"/>
    <w:rsid w:val="009869B0"/>
    <w:rsid w:val="009A33BD"/>
    <w:rsid w:val="009C431C"/>
    <w:rsid w:val="009E0FA1"/>
    <w:rsid w:val="009E2905"/>
    <w:rsid w:val="00A0520B"/>
    <w:rsid w:val="00A44F0A"/>
    <w:rsid w:val="00A9494C"/>
    <w:rsid w:val="00AA04F3"/>
    <w:rsid w:val="00AC6CFB"/>
    <w:rsid w:val="00AD1976"/>
    <w:rsid w:val="00AD4DA0"/>
    <w:rsid w:val="00AD5860"/>
    <w:rsid w:val="00AE0949"/>
    <w:rsid w:val="00AE7A91"/>
    <w:rsid w:val="00AF0265"/>
    <w:rsid w:val="00B010E6"/>
    <w:rsid w:val="00B06836"/>
    <w:rsid w:val="00B11929"/>
    <w:rsid w:val="00B43E02"/>
    <w:rsid w:val="00B765DD"/>
    <w:rsid w:val="00B8226A"/>
    <w:rsid w:val="00B929E9"/>
    <w:rsid w:val="00BB27DB"/>
    <w:rsid w:val="00BD25D9"/>
    <w:rsid w:val="00BD4174"/>
    <w:rsid w:val="00BE3356"/>
    <w:rsid w:val="00BF06AB"/>
    <w:rsid w:val="00BF2EF0"/>
    <w:rsid w:val="00C115FB"/>
    <w:rsid w:val="00C15B23"/>
    <w:rsid w:val="00C268CD"/>
    <w:rsid w:val="00C3308E"/>
    <w:rsid w:val="00C56E5E"/>
    <w:rsid w:val="00C5735E"/>
    <w:rsid w:val="00C723EC"/>
    <w:rsid w:val="00C87616"/>
    <w:rsid w:val="00C95A26"/>
    <w:rsid w:val="00CB420A"/>
    <w:rsid w:val="00CD2044"/>
    <w:rsid w:val="00CD5A40"/>
    <w:rsid w:val="00CF15EE"/>
    <w:rsid w:val="00CF4BD4"/>
    <w:rsid w:val="00D05971"/>
    <w:rsid w:val="00D062EB"/>
    <w:rsid w:val="00D137EC"/>
    <w:rsid w:val="00D22E0A"/>
    <w:rsid w:val="00D3134C"/>
    <w:rsid w:val="00D3195D"/>
    <w:rsid w:val="00D772FB"/>
    <w:rsid w:val="00D86B93"/>
    <w:rsid w:val="00D9789F"/>
    <w:rsid w:val="00DA539A"/>
    <w:rsid w:val="00DC5711"/>
    <w:rsid w:val="00DC739B"/>
    <w:rsid w:val="00DD05DF"/>
    <w:rsid w:val="00DD1DDE"/>
    <w:rsid w:val="00DD463F"/>
    <w:rsid w:val="00DD4EB3"/>
    <w:rsid w:val="00DE2136"/>
    <w:rsid w:val="00DE6DFF"/>
    <w:rsid w:val="00E14818"/>
    <w:rsid w:val="00E26EFC"/>
    <w:rsid w:val="00E33C05"/>
    <w:rsid w:val="00E3590A"/>
    <w:rsid w:val="00E60A3C"/>
    <w:rsid w:val="00E6384D"/>
    <w:rsid w:val="00E64E27"/>
    <w:rsid w:val="00E66509"/>
    <w:rsid w:val="00E921A3"/>
    <w:rsid w:val="00EC5A8E"/>
    <w:rsid w:val="00ED6BA8"/>
    <w:rsid w:val="00EE63C3"/>
    <w:rsid w:val="00EF60BE"/>
    <w:rsid w:val="00F12246"/>
    <w:rsid w:val="00F234B5"/>
    <w:rsid w:val="00F361FC"/>
    <w:rsid w:val="00F513D9"/>
    <w:rsid w:val="00F5679C"/>
    <w:rsid w:val="00F6295E"/>
    <w:rsid w:val="00F644F4"/>
    <w:rsid w:val="00F70914"/>
    <w:rsid w:val="00F72E24"/>
    <w:rsid w:val="00F803EA"/>
    <w:rsid w:val="00F9174C"/>
    <w:rsid w:val="00F91D1B"/>
    <w:rsid w:val="00FA717A"/>
    <w:rsid w:val="00FB3447"/>
    <w:rsid w:val="00FB3466"/>
    <w:rsid w:val="00FB398C"/>
    <w:rsid w:val="00FB6158"/>
    <w:rsid w:val="00FC7AD2"/>
    <w:rsid w:val="00FC7B05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EB8E4DF"/>
  <w15:chartTrackingRefBased/>
  <w15:docId w15:val="{AD9BC188-99A4-4098-BB38-1B22FC02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16"/>
    <w:pPr>
      <w:spacing w:after="240" w:line="360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7616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C87616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C87616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C87616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C87616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unhideWhenUsed/>
    <w:rsid w:val="00C87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87616"/>
  </w:style>
  <w:style w:type="character" w:customStyle="1" w:styleId="Heading1Char">
    <w:name w:val="Heading 1 Char"/>
    <w:link w:val="Heading1"/>
    <w:uiPriority w:val="2"/>
    <w:rsid w:val="00C87616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C87616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C87616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C87616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C87616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C876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semiHidden/>
    <w:rsid w:val="00C87616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C87616"/>
  </w:style>
  <w:style w:type="paragraph" w:customStyle="1" w:styleId="Appendix">
    <w:name w:val="Appendix"/>
    <w:basedOn w:val="Normal"/>
    <w:next w:val="Normal"/>
    <w:uiPriority w:val="4"/>
    <w:qFormat/>
    <w:rsid w:val="00C87616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C87616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C87616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C87616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C87616"/>
    <w:pPr>
      <w:numPr>
        <w:ilvl w:val="4"/>
      </w:numPr>
    </w:pPr>
  </w:style>
  <w:style w:type="numbering" w:customStyle="1" w:styleId="AppendixNumbering">
    <w:name w:val="AppendixNumbering"/>
    <w:uiPriority w:val="99"/>
    <w:rsid w:val="00C87616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C87616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C87616"/>
  </w:style>
  <w:style w:type="numbering" w:customStyle="1" w:styleId="MainNumbering">
    <w:name w:val="MainNumbering"/>
    <w:uiPriority w:val="99"/>
    <w:rsid w:val="00C87616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C87616"/>
    <w:pPr>
      <w:spacing w:after="0"/>
    </w:pPr>
    <w:rPr>
      <w:szCs w:val="24"/>
    </w:rPr>
  </w:style>
  <w:style w:type="table" w:styleId="TableGrid">
    <w:name w:val="Table Grid"/>
    <w:basedOn w:val="TableNormal"/>
    <w:uiPriority w:val="59"/>
    <w:rsid w:val="0047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735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5735E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C5735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83F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4E1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1BBAA-BB50-4A93-96A6-B14607E1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2200</CharactersWithSpaces>
  <SharedDoc>false</SharedDoc>
  <HLinks>
    <vt:vector size="6" baseType="variant"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#185953v10</vt:lpwstr>
  </op:property>
</op:Properties>
</file>